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color w:val="ff00ff"/>
          <w:sz w:val="46"/>
          <w:szCs w:val="46"/>
        </w:rPr>
      </w:pPr>
      <w:bookmarkStart w:colFirst="0" w:colLast="0" w:name="_2zk5ezy6i4m1" w:id="0"/>
      <w:bookmarkEnd w:id="0"/>
      <w:r w:rsidDel="00000000" w:rsidR="00000000" w:rsidRPr="00000000">
        <w:rPr>
          <w:b w:val="1"/>
          <w:bCs w:val="1"/>
          <w:color w:val="ff00ff"/>
          <w:sz w:val="46"/>
          <w:szCs w:val="46"/>
          <w:rtl w:val="0"/>
        </w:rPr>
        <w:t xml:space="preserve">Guía de Estudio: Interculturalidad y Migración en la Salud</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Esta guía está diseñada para profundizar la comprensión de los conceptos clave, normativas y enfoques presentados en el curso "Interculturalidad y Migración". Utilice las siguientes secciones para repasar el material con más profundidad.  Esta guía está compuesta por tres ítem de desarrollo, el primero es preguntas con respuestas, el segundo está compuesto por preguntas de ensayo y el tercer ítem es un glosario de términos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w:t>
      </w:r>
    </w:p>
    <w:p w:rsidR="00000000" w:rsidDel="00000000" w:rsidP="00000000" w:rsidRDefault="00000000" w:rsidRPr="00000000" w14:paraId="00000004">
      <w:pPr>
        <w:pStyle w:val="Heading2"/>
        <w:keepNext w:val="0"/>
        <w:keepLines w:val="0"/>
        <w:spacing w:after="80" w:lineRule="auto"/>
        <w:jc w:val="both"/>
        <w:rPr/>
      </w:pPr>
      <w:bookmarkStart w:colFirst="0" w:colLast="0" w:name="_u2xb25khq8ez" w:id="1"/>
      <w:bookmarkEnd w:id="1"/>
      <w:r w:rsidDel="00000000" w:rsidR="00000000" w:rsidRPr="00000000">
        <w:rPr>
          <w:b w:val="1"/>
          <w:bCs w:val="1"/>
          <w:color w:val="ff00ff"/>
          <w:sz w:val="34"/>
          <w:szCs w:val="34"/>
          <w:rtl w:val="0"/>
        </w:rPr>
        <w:t xml:space="preserve">Preguntas de Ensayo</w:t>
      </w:r>
      <w:r w:rsidDel="00000000" w:rsidR="00000000" w:rsidRPr="00000000">
        <w:rPr>
          <w:rtl w:val="0"/>
        </w:rPr>
      </w:r>
    </w:p>
    <w:p w:rsidR="00000000" w:rsidDel="00000000" w:rsidP="00000000" w:rsidRDefault="00000000" w:rsidRPr="00000000" w14:paraId="00000005">
      <w:pPr>
        <w:numPr>
          <w:ilvl w:val="0"/>
          <w:numId w:val="2"/>
        </w:numPr>
        <w:spacing w:after="0" w:afterAutospacing="0" w:before="240" w:lineRule="auto"/>
        <w:ind w:left="720" w:hanging="360"/>
        <w:jc w:val="both"/>
      </w:pPr>
      <w:r w:rsidDel="00000000" w:rsidR="00000000" w:rsidRPr="00000000">
        <w:rPr>
          <w:b w:val="1"/>
          <w:bCs w:val="1"/>
          <w:rtl w:val="0"/>
        </w:rPr>
        <w:t xml:space="preserve">La diferencia fundamental entre multiculturalidad e interculturalidad.</w:t>
      </w:r>
      <w:r w:rsidDel="00000000" w:rsidR="00000000" w:rsidRPr="00000000">
        <w:rPr>
          <w:rtl w:val="0"/>
        </w:rPr>
        <w:t xml:space="preserve"> La multiculturalidad se define como la simple coexistencia de diferentes culturas en un mismo espacio geográfico. En contraste, la interculturalidad implica una interacción dinámica, respetuosa y recíproca entre estas culturas, buscando activamente el diálogo y la construcción de relaciones de poder más equitativas.</w:t>
      </w:r>
    </w:p>
    <w:p w:rsidR="00000000" w:rsidDel="00000000" w:rsidP="00000000" w:rsidRDefault="00000000" w:rsidRPr="00000000" w14:paraId="00000006">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Duelo migratorio" y su relevancia para la Atención Primaria de Salud (APS)?</w:t>
      </w:r>
      <w:r w:rsidDel="00000000" w:rsidR="00000000" w:rsidRPr="00000000">
        <w:rPr>
          <w:rtl w:val="0"/>
        </w:rPr>
        <w:t xml:space="preserve"> El duelo migratorio es el proceso de aflicción causado por las múltiples pérdidas asociadas a la migración, como el país, la cultura, las redes de apoyo y el estatus social. Es relevante para la APS porque este duelo no resuelto a menudo se manifiesta a través de somatizaciones (síntomas físicos sin causa médica aparente), lo que explica muchas de las demandas de atención en los centros de salud.</w:t>
      </w:r>
    </w:p>
    <w:p w:rsidR="00000000" w:rsidDel="00000000" w:rsidP="00000000" w:rsidRDefault="00000000" w:rsidRPr="00000000" w14:paraId="00000007">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 "Síndrome de Ulises" y ¿cómo se manifiesta en los pacientes migrantes?</w:t>
      </w:r>
      <w:r w:rsidDel="00000000" w:rsidR="00000000" w:rsidRPr="00000000">
        <w:rPr>
          <w:rtl w:val="0"/>
        </w:rPr>
        <w:t xml:space="preserve"> El "Síndrome de Ulises" es una condición que puede desarrollarse cuando el duelo migratorio no se elabora adecuadamente. Se manifiesta a través de síntomas físicos como cefaleas, insomnio, fatiga crónica, dolores musculares y problemas gastrointestinales que no tienen una causa médica aparente, llevando a los migrantes a buscar alivio en la APS.</w:t>
      </w:r>
    </w:p>
    <w:p w:rsidR="00000000" w:rsidDel="00000000" w:rsidP="00000000" w:rsidRDefault="00000000" w:rsidRPr="00000000" w14:paraId="00000008">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¿Cuál es el rol del funcionario de salud frente a los derechos de la población migrante?</w:t>
      </w:r>
      <w:r w:rsidDel="00000000" w:rsidR="00000000" w:rsidRPr="00000000">
        <w:rPr>
          <w:rtl w:val="0"/>
        </w:rPr>
        <w:t xml:space="preserve"> El funcionario de salud debe asumir su rol como un "garante de derechos". Esto significa que no solo debe evitar la discriminación, sino que tiene la responsabilidad de conocer y aplicar rigurosamente la normativa vigente para asegurar el acceso a la salud de la población migrante, entendiendo que muchas vulneraciones ocurren por desconocimiento y no por mala fe.</w:t>
      </w:r>
    </w:p>
    <w:p w:rsidR="00000000" w:rsidDel="00000000" w:rsidP="00000000" w:rsidRDefault="00000000" w:rsidRPr="00000000" w14:paraId="00000009">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Describa dos de los principales desafíos que enfrenta la APS en Chile debido al fenómeno migratorio.</w:t>
      </w:r>
      <w:r w:rsidDel="00000000" w:rsidR="00000000" w:rsidRPr="00000000">
        <w:rPr>
          <w:rtl w:val="0"/>
        </w:rPr>
        <w:t xml:space="preserve"> Dos desafíos clave son la mayor demanda y tensión del sistema, ya que el aumento de la población migrante presiona los recursos e infraestructura de los CESFAM. Otro desafío son las barreras de información, que no son solo idiomáticas (como con el creole haitiano) sino también culturales, debido a la incomprensión de las diferentes cosmovisiones sobre salud y enfermedad.</w:t>
      </w:r>
    </w:p>
    <w:p w:rsidR="00000000" w:rsidDel="00000000" w:rsidP="00000000" w:rsidRDefault="00000000" w:rsidRPr="00000000" w14:paraId="0000000A">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¿Qué garantiza la Circular 4 del Ministerio de Salud y qué herramienta administrativa establece para personas sin RUT?</w:t>
      </w:r>
      <w:r w:rsidDel="00000000" w:rsidR="00000000" w:rsidRPr="00000000">
        <w:rPr>
          <w:rtl w:val="0"/>
        </w:rPr>
        <w:t xml:space="preserve"> La Circular 4 garantiza explícitamente la atención de urgencia a toda persona, independientemente de su situación migratoria, así como el acceso a programas prioritarios como el control de embarazo y la atención a niños. Para eliminar la barrera de la identificación formal, la circular mandata el uso del Identificador Provisorio del Paciente (IPP) para registrar y atender a personas sin RUT chileno.</w:t>
      </w:r>
    </w:p>
    <w:p w:rsidR="00000000" w:rsidDel="00000000" w:rsidP="00000000" w:rsidRDefault="00000000" w:rsidRPr="00000000" w14:paraId="0000000B">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¿Qué significa el concepto de interseccionalidad y por qué es crucial en la atención de salud a migrantes?</w:t>
      </w:r>
      <w:r w:rsidDel="00000000" w:rsidR="00000000" w:rsidRPr="00000000">
        <w:rPr>
          <w:rtl w:val="0"/>
        </w:rPr>
        <w:t xml:space="preserve"> La interseccionalidad es una herramienta que permite comprender cómo diferentes sistemas de opresión (racismo, sexismo, xenofobia) interactúan y crean un efecto multiplicador de vulnerabilidad. Es crucial porque ayuda a visibilizar que no es lo mismo ser solo migrante que ser mujer, migrante, indígena, con estatus irregular y jefa de hogar, permitiendo una atención que responda a estas necesidades complejas y superpuestas.</w:t>
      </w:r>
    </w:p>
    <w:p w:rsidR="00000000" w:rsidDel="00000000" w:rsidP="00000000" w:rsidRDefault="00000000" w:rsidRPr="00000000" w14:paraId="0000000C">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¿Cuál es la importancia del Artículo 7 de la Ley N°20.584 en el contexto de la atención a personas migrantes?</w:t>
      </w:r>
      <w:r w:rsidDel="00000000" w:rsidR="00000000" w:rsidRPr="00000000">
        <w:rPr>
          <w:rtl w:val="0"/>
        </w:rPr>
        <w:t xml:space="preserve"> El Artículo 7 de la Ley de Derechos y Deberes de las Personas consagra el derecho a recibir un trato digno y respetuoso sin discriminación arbitraria. En el contexto migratorio, esto es fundamental porque prohíbe explícitamente que la nacionalidad, el estatus migratorio, el idioma o el color de piel sean motivo de un trato diferenciado o una barrera para recibir atención.</w:t>
      </w:r>
    </w:p>
    <w:p w:rsidR="00000000" w:rsidDel="00000000" w:rsidP="00000000" w:rsidRDefault="00000000" w:rsidRPr="00000000" w14:paraId="0000000D">
      <w:pPr>
        <w:numPr>
          <w:ilvl w:val="0"/>
          <w:numId w:val="2"/>
        </w:numPr>
        <w:spacing w:after="240" w:before="0" w:beforeAutospacing="0" w:lineRule="auto"/>
        <w:ind w:left="720" w:hanging="360"/>
        <w:jc w:val="both"/>
      </w:pPr>
      <w:r w:rsidDel="00000000" w:rsidR="00000000" w:rsidRPr="00000000">
        <w:rPr>
          <w:b w:val="1"/>
          <w:bCs w:val="1"/>
          <w:rtl w:val="0"/>
        </w:rPr>
        <w:t xml:space="preserve">¿Cómo debe abordar la APS el "pluralismo médico" al atender a la población migrante?</w:t>
      </w:r>
      <w:r w:rsidDel="00000000" w:rsidR="00000000" w:rsidRPr="00000000">
        <w:rPr>
          <w:rtl w:val="0"/>
        </w:rPr>
        <w:t xml:space="preserve"> La APS debe reconocer que coexisten múltiples sistemas médicos (biomedicina, medicina tradicional, etc.) y que los migrantes transitan entre ellos. El enfoque debe ser un diálogo de saberes, preguntando proactivamente al paciente sobre sus creencias y prácticas, e incluso buscando la colaboración con sanadores tradicionales, como parteras, en lugar de invalidar o medicalizar inmediatamente sus prácticas culturales.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w:t>
      </w:r>
    </w:p>
    <w:p w:rsidR="00000000" w:rsidDel="00000000" w:rsidP="00000000" w:rsidRDefault="00000000" w:rsidRPr="00000000" w14:paraId="0000000F">
      <w:pPr>
        <w:pStyle w:val="Heading2"/>
        <w:keepNext w:val="0"/>
        <w:keepLines w:val="0"/>
        <w:spacing w:after="80" w:lineRule="auto"/>
        <w:jc w:val="both"/>
        <w:rPr>
          <w:b w:val="1"/>
          <w:bCs w:val="1"/>
          <w:color w:val="ff00ff"/>
          <w:sz w:val="34"/>
          <w:szCs w:val="34"/>
        </w:rPr>
      </w:pPr>
      <w:bookmarkStart w:colFirst="0" w:colLast="0" w:name="_yzyxc9gd7hbl" w:id="2"/>
      <w:bookmarkEnd w:id="2"/>
      <w:r w:rsidDel="00000000" w:rsidR="00000000" w:rsidRPr="00000000">
        <w:rPr>
          <w:b w:val="1"/>
          <w:bCs w:val="1"/>
          <w:color w:val="ff00ff"/>
          <w:sz w:val="34"/>
          <w:szCs w:val="34"/>
          <w:rtl w:val="0"/>
        </w:rPr>
        <w:t xml:space="preserve">Preguntas de Ensayo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Reflexione sobre los siguientes temas y estructure una respuesta argumentativa y detallada, utilizando los conceptos del manual. No se proporcionan respuestas para esta sección.</w:t>
      </w:r>
    </w:p>
    <w:p w:rsidR="00000000" w:rsidDel="00000000" w:rsidP="00000000" w:rsidRDefault="00000000" w:rsidRPr="00000000" w14:paraId="00000011">
      <w:pPr>
        <w:numPr>
          <w:ilvl w:val="0"/>
          <w:numId w:val="1"/>
        </w:numPr>
        <w:spacing w:after="0" w:afterAutospacing="0" w:before="240" w:lineRule="auto"/>
        <w:ind w:left="720" w:hanging="360"/>
        <w:jc w:val="both"/>
      </w:pPr>
      <w:r w:rsidDel="00000000" w:rsidR="00000000" w:rsidRPr="00000000">
        <w:rPr>
          <w:rtl w:val="0"/>
        </w:rPr>
        <w:t xml:space="preserve">Analice en profundidad la relación entre los siete componentes del "duelo migratorio" y las somatizaciones que se presentan en la Atención Primaria de Salud. ¿Qué estrategias concretas, basadas en un enfoque intercultural, podría implementar un equipo de APS para abordar esta problemática más allá del tratamiento sintomático?</w:t>
      </w:r>
    </w:p>
    <w:p w:rsidR="00000000" w:rsidDel="00000000" w:rsidP="00000000" w:rsidRDefault="00000000" w:rsidRPr="00000000" w14:paraId="00000012">
      <w:pPr>
        <w:numPr>
          <w:ilvl w:val="0"/>
          <w:numId w:val="1"/>
        </w:numPr>
        <w:spacing w:after="0" w:afterAutospacing="0" w:before="0" w:beforeAutospacing="0" w:lineRule="auto"/>
        <w:ind w:left="720" w:hanging="360"/>
        <w:jc w:val="both"/>
      </w:pPr>
      <w:r w:rsidDel="00000000" w:rsidR="00000000" w:rsidRPr="00000000">
        <w:rPr>
          <w:rtl w:val="0"/>
        </w:rPr>
        <w:t xml:space="preserve">Discuta cómo las diferentes cosmovisiones sobre el proceso de salud/enfermedad (biomédica vs. holística) pueden generar conflictos en la atención clínica. Utilizando los conceptos de "pluralismo médico" y "diálogo de saberes", proponga un modelo de atención integral que respete la autonomía del paciente migrante sin comprometer la seguridad clínica.</w:t>
      </w:r>
    </w:p>
    <w:p w:rsidR="00000000" w:rsidDel="00000000" w:rsidP="00000000" w:rsidRDefault="00000000" w:rsidRPr="00000000" w14:paraId="00000013">
      <w:pPr>
        <w:numPr>
          <w:ilvl w:val="0"/>
          <w:numId w:val="1"/>
        </w:numPr>
        <w:spacing w:after="0" w:afterAutospacing="0" w:before="0" w:beforeAutospacing="0" w:lineRule="auto"/>
        <w:ind w:left="720" w:hanging="360"/>
        <w:jc w:val="both"/>
      </w:pPr>
      <w:r w:rsidDel="00000000" w:rsidR="00000000" w:rsidRPr="00000000">
        <w:rPr>
          <w:rtl w:val="0"/>
        </w:rPr>
        <w:t xml:space="preserve">Desarrolle el argumento de que "el funcionario de salud es un garante de derechos". Explique cómo el desconocimiento de normativas como el Decreto Supremo N°21, la Circular 4 y el Artículo 7 de la Ley 20.584 puede llevar a vulneraciones frecuentes de derechos, y describa cómo la aplicación correcta de estas herramientas transforma la atención.</w:t>
      </w:r>
    </w:p>
    <w:p w:rsidR="00000000" w:rsidDel="00000000" w:rsidP="00000000" w:rsidRDefault="00000000" w:rsidRPr="00000000" w14:paraId="00000014">
      <w:pPr>
        <w:numPr>
          <w:ilvl w:val="0"/>
          <w:numId w:val="1"/>
        </w:numPr>
        <w:spacing w:after="0" w:afterAutospacing="0" w:before="0" w:beforeAutospacing="0" w:lineRule="auto"/>
        <w:ind w:left="720" w:hanging="360"/>
        <w:jc w:val="both"/>
      </w:pPr>
      <w:r w:rsidDel="00000000" w:rsidR="00000000" w:rsidRPr="00000000">
        <w:rPr>
          <w:rtl w:val="0"/>
        </w:rPr>
        <w:t xml:space="preserve">Tomando como ejemplo el caso de una mujer migrante, indígena, que no habla español fluidamente y trabaja en el servicio doméstico "puertas adentro", aplique el enfoque de interseccionalidad para identificar las múltiples barreras de acceso a la salud que enfrenta. Explique cómo un enfoque de género y DDHH es indispensable para ofrecerle una atención equitativa y efectiva.</w:t>
      </w:r>
    </w:p>
    <w:p w:rsidR="00000000" w:rsidDel="00000000" w:rsidP="00000000" w:rsidRDefault="00000000" w:rsidRPr="00000000" w14:paraId="00000015">
      <w:pPr>
        <w:numPr>
          <w:ilvl w:val="0"/>
          <w:numId w:val="1"/>
        </w:numPr>
        <w:spacing w:after="240" w:before="0" w:beforeAutospacing="0" w:lineRule="auto"/>
        <w:ind w:left="720" w:hanging="360"/>
        <w:jc w:val="both"/>
      </w:pPr>
      <w:r w:rsidDel="00000000" w:rsidR="00000000" w:rsidRPr="00000000">
        <w:rPr>
          <w:rtl w:val="0"/>
        </w:rPr>
        <w:t xml:space="preserve">Explique cómo el espíritu normativo del Decreto Supremo N°21, aunque enfocado en pueblos indígenas, es fundamental para la implementación de un modelo de salud intercultural para la población migrante. Detalle cómo sus principios (pertinencia cultural, complementariedad de saberes y enfoque comunitario) pueden mejorar la adherencia a tratamientos y fortalecer la confianza en la APS.</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w:t>
      </w:r>
    </w:p>
    <w:p w:rsidR="00000000" w:rsidDel="00000000" w:rsidP="00000000" w:rsidRDefault="00000000" w:rsidRPr="00000000" w14:paraId="00000017">
      <w:pPr>
        <w:pStyle w:val="Heading2"/>
        <w:keepNext w:val="0"/>
        <w:keepLines w:val="0"/>
        <w:spacing w:after="80" w:lineRule="auto"/>
        <w:jc w:val="both"/>
        <w:rPr>
          <w:b w:val="1"/>
          <w:bCs w:val="1"/>
          <w:color w:val="ff00ff"/>
          <w:sz w:val="34"/>
          <w:szCs w:val="34"/>
        </w:rPr>
      </w:pPr>
      <w:bookmarkStart w:colFirst="0" w:colLast="0" w:name="_lyriznntr3db" w:id="3"/>
      <w:bookmarkEnd w:id="3"/>
      <w:r w:rsidDel="00000000" w:rsidR="00000000" w:rsidRPr="00000000">
        <w:rPr>
          <w:b w:val="1"/>
          <w:bCs w:val="1"/>
          <w:color w:val="ff00ff"/>
          <w:sz w:val="34"/>
          <w:szCs w:val="34"/>
          <w:rtl w:val="0"/>
        </w:rPr>
        <w:t xml:space="preserve">Glosario de Términos Clave</w:t>
      </w:r>
    </w:p>
    <w:tbl>
      <w:tblPr>
        <w:tblStyle w:val="Table1"/>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903.311491657949"/>
        <w:gridCol w:w="6122.200319365675"/>
        <w:tblGridChange w:id="0">
          <w:tblGrid>
            <w:gridCol w:w="2903.311491657949"/>
            <w:gridCol w:w="6122.200319365675"/>
          </w:tblGrid>
        </w:tblGridChange>
      </w:tblGrid>
      <w:tr>
        <w:trPr>
          <w:cantSplit w:val="0"/>
          <w:trHeight w:val="515"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jc w:val="both"/>
              <w:rPr/>
            </w:pPr>
            <w:r w:rsidDel="00000000" w:rsidR="00000000" w:rsidRPr="00000000">
              <w:rPr>
                <w:rtl w:val="0"/>
              </w:rPr>
              <w:t xml:space="preserve">Término</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jc w:val="both"/>
              <w:rPr/>
            </w:pPr>
            <w:r w:rsidDel="00000000" w:rsidR="00000000" w:rsidRPr="00000000">
              <w:rPr>
                <w:rtl w:val="0"/>
              </w:rPr>
              <w:t xml:space="preserve">Definición</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jc w:val="both"/>
              <w:rPr>
                <w:b w:val="1"/>
                <w:bCs w:val="1"/>
              </w:rPr>
            </w:pPr>
            <w:r w:rsidDel="00000000" w:rsidR="00000000" w:rsidRPr="00000000">
              <w:rPr>
                <w:b w:val="1"/>
                <w:bCs w:val="1"/>
                <w:rtl w:val="0"/>
              </w:rPr>
              <w:t xml:space="preserve">Interculturalidad</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jc w:val="both"/>
              <w:rPr/>
            </w:pPr>
            <w:r w:rsidDel="00000000" w:rsidR="00000000" w:rsidRPr="00000000">
              <w:rPr>
                <w:rtl w:val="0"/>
              </w:rPr>
              <w:t xml:space="preserve">Interacción dinámica, respetuosa y recíproca entre culturas, buscando diálogo y relaciones de poder más equitativas. En salud, implica negociar significados sobre salud y enfermedad.</w:t>
            </w:r>
          </w:p>
        </w:tc>
      </w:tr>
      <w:tr>
        <w:trPr>
          <w:cantSplit w:val="0"/>
          <w:trHeight w:val="515"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jc w:val="both"/>
              <w:rPr>
                <w:b w:val="1"/>
                <w:bCs w:val="1"/>
              </w:rPr>
            </w:pPr>
            <w:r w:rsidDel="00000000" w:rsidR="00000000" w:rsidRPr="00000000">
              <w:rPr>
                <w:b w:val="1"/>
                <w:bCs w:val="1"/>
                <w:rtl w:val="0"/>
              </w:rPr>
              <w:t xml:space="preserve">Multiculturalidad</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both"/>
              <w:rPr/>
            </w:pPr>
            <w:r w:rsidDel="00000000" w:rsidR="00000000" w:rsidRPr="00000000">
              <w:rPr>
                <w:rtl w:val="0"/>
              </w:rPr>
              <w:t xml:space="preserve">Coexistencia de culturas en un mismo espacio.</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jc w:val="both"/>
              <w:rPr>
                <w:b w:val="1"/>
                <w:bCs w:val="1"/>
              </w:rPr>
            </w:pPr>
            <w:r w:rsidDel="00000000" w:rsidR="00000000" w:rsidRPr="00000000">
              <w:rPr>
                <w:b w:val="1"/>
                <w:bCs w:val="1"/>
                <w:rtl w:val="0"/>
              </w:rPr>
              <w:t xml:space="preserve">Duelo Migratorio</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both"/>
              <w:rPr/>
            </w:pPr>
            <w:r w:rsidDel="00000000" w:rsidR="00000000" w:rsidRPr="00000000">
              <w:rPr>
                <w:rtl w:val="0"/>
              </w:rPr>
              <w:t xml:space="preserve">Proceso de aflicción relacionado con la pérdida del país, la cultura, las redes de apoyo, el estatus social y otros elementos significativos al migrar.</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jc w:val="both"/>
              <w:rPr>
                <w:b w:val="1"/>
                <w:bCs w:val="1"/>
              </w:rPr>
            </w:pPr>
            <w:r w:rsidDel="00000000" w:rsidR="00000000" w:rsidRPr="00000000">
              <w:rPr>
                <w:b w:val="1"/>
                <w:bCs w:val="1"/>
                <w:rtl w:val="0"/>
              </w:rPr>
              <w:t xml:space="preserve">Síndrome de Ulises</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jc w:val="both"/>
              <w:rPr/>
            </w:pPr>
            <w:r w:rsidDel="00000000" w:rsidR="00000000" w:rsidRPr="00000000">
              <w:rPr>
                <w:rtl w:val="0"/>
              </w:rPr>
              <w:t xml:space="preserve">Cuadro de síntomas físicos (cefaleas, insomnio, fatiga, etc.) sin causa médica aparente, resultado de la incapacidad de elaborar adecuadamente el duelo migratorio.</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jc w:val="both"/>
              <w:rPr>
                <w:b w:val="1"/>
                <w:bCs w:val="1"/>
              </w:rPr>
            </w:pPr>
            <w:r w:rsidDel="00000000" w:rsidR="00000000" w:rsidRPr="00000000">
              <w:rPr>
                <w:b w:val="1"/>
                <w:bCs w:val="1"/>
                <w:rtl w:val="0"/>
              </w:rPr>
              <w:t xml:space="preserve">Atención Primaria de Salud (APS)</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jc w:val="both"/>
              <w:rPr/>
            </w:pPr>
            <w:r w:rsidDel="00000000" w:rsidR="00000000" w:rsidRPr="00000000">
              <w:rPr>
                <w:rtl w:val="0"/>
              </w:rPr>
              <w:t xml:space="preserve">La puerta de entrada principal al sistema de salud, donde se debe dar el principal encuentro intercultural. Encarnada en centros como los CESFAM.</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jc w:val="both"/>
              <w:rPr>
                <w:b w:val="1"/>
                <w:bCs w:val="1"/>
              </w:rPr>
            </w:pPr>
            <w:r w:rsidDel="00000000" w:rsidR="00000000" w:rsidRPr="00000000">
              <w:rPr>
                <w:b w:val="1"/>
                <w:bCs w:val="1"/>
                <w:rtl w:val="0"/>
              </w:rPr>
              <w:t xml:space="preserve">Pertinencia Cultural</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jc w:val="both"/>
              <w:rPr/>
            </w:pPr>
            <w:r w:rsidDel="00000000" w:rsidR="00000000" w:rsidRPr="00000000">
              <w:rPr>
                <w:rtl w:val="0"/>
              </w:rPr>
              <w:t xml:space="preserve">La capacidad de los servicios de salud de proveer una atención que respete y considere las creencias, valores, prácticas y tradiciones culturales del usuario y su comunidad.</w:t>
            </w:r>
          </w:p>
        </w:tc>
      </w:tr>
      <w:tr>
        <w:trPr>
          <w:cantSplit w:val="0"/>
          <w:trHeight w:val="134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jc w:val="both"/>
              <w:rPr>
                <w:b w:val="1"/>
                <w:bCs w:val="1"/>
              </w:rPr>
            </w:pPr>
            <w:r w:rsidDel="00000000" w:rsidR="00000000" w:rsidRPr="00000000">
              <w:rPr>
                <w:b w:val="1"/>
                <w:bCs w:val="1"/>
                <w:rtl w:val="0"/>
              </w:rPr>
              <w:t xml:space="preserve">Interseccionalidad</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jc w:val="both"/>
              <w:rPr/>
            </w:pPr>
            <w:r w:rsidDel="00000000" w:rsidR="00000000" w:rsidRPr="00000000">
              <w:rPr>
                <w:rtl w:val="0"/>
              </w:rPr>
              <w:t xml:space="preserve">Herramienta analítica para comprender cómo diferentes sistemas de opresión (racismo, sexismo, clasismo, xenofobia) interactúan y se refuerzan mutuamente, creando un efecto multiplicador de vulnerabilidad.</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jc w:val="both"/>
              <w:rPr>
                <w:b w:val="1"/>
                <w:bCs w:val="1"/>
              </w:rPr>
            </w:pPr>
            <w:r w:rsidDel="00000000" w:rsidR="00000000" w:rsidRPr="00000000">
              <w:rPr>
                <w:b w:val="1"/>
                <w:bCs w:val="1"/>
                <w:rtl w:val="0"/>
              </w:rPr>
              <w:t xml:space="preserve">Cosmovisión</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jc w:val="both"/>
              <w:rPr/>
            </w:pPr>
            <w:r w:rsidDel="00000000" w:rsidR="00000000" w:rsidRPr="00000000">
              <w:rPr>
                <w:rtl w:val="0"/>
              </w:rPr>
              <w:t xml:space="preserve">Las distintas visiones del mundo que tienen las personas y comunidades, las cuales influyen en su forma de entender la salud, la enfermedad y el cuidado.</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jc w:val="both"/>
              <w:rPr>
                <w:b w:val="1"/>
                <w:bCs w:val="1"/>
              </w:rPr>
            </w:pPr>
            <w:r w:rsidDel="00000000" w:rsidR="00000000" w:rsidRPr="00000000">
              <w:rPr>
                <w:b w:val="1"/>
                <w:bCs w:val="1"/>
                <w:rtl w:val="0"/>
              </w:rPr>
              <w:t xml:space="preserve">Identificador Provisorio del Paciente (IPP)</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jc w:val="both"/>
              <w:rPr/>
            </w:pPr>
            <w:r w:rsidDel="00000000" w:rsidR="00000000" w:rsidRPr="00000000">
              <w:rPr>
                <w:rtl w:val="0"/>
              </w:rPr>
              <w:t xml:space="preserve">Herramienta administrativa mandatada por la Circular 4 para registrar y atender a personas que no cuentan con un RUT chileno, eliminando la barrera de la identificación formal.</w:t>
            </w:r>
          </w:p>
        </w:tc>
      </w:tr>
      <w:tr>
        <w:trPr>
          <w:cantSplit w:val="0"/>
          <w:trHeight w:val="134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jc w:val="both"/>
              <w:rPr>
                <w:b w:val="1"/>
                <w:bCs w:val="1"/>
              </w:rPr>
            </w:pPr>
            <w:r w:rsidDel="00000000" w:rsidR="00000000" w:rsidRPr="00000000">
              <w:rPr>
                <w:b w:val="1"/>
                <w:bCs w:val="1"/>
                <w:rtl w:val="0"/>
              </w:rPr>
              <w:t xml:space="preserve">Programa Especial de Salud y Pueblos Indígenas (PESPI)</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jc w:val="both"/>
              <w:rPr/>
            </w:pPr>
            <w:r w:rsidDel="00000000" w:rsidR="00000000" w:rsidRPr="00000000">
              <w:rPr>
                <w:rtl w:val="0"/>
              </w:rPr>
              <w:t xml:space="preserve">Programa implementado en CESFAM que busca aplicar un modelo de salud intercultural a través de la contratación de facilitadores interculturales, la coordinación con terapeutas tradicionales y la participación social indígena.</w:t>
            </w:r>
          </w:p>
        </w:tc>
      </w:tr>
      <w:tr>
        <w:trPr>
          <w:cantSplit w:val="0"/>
          <w:trHeight w:val="134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jc w:val="both"/>
              <w:rPr>
                <w:b w:val="1"/>
                <w:bCs w:val="1"/>
              </w:rPr>
            </w:pPr>
            <w:r w:rsidDel="00000000" w:rsidR="00000000" w:rsidRPr="00000000">
              <w:rPr>
                <w:b w:val="1"/>
                <w:bCs w:val="1"/>
                <w:rtl w:val="0"/>
              </w:rPr>
              <w:t xml:space="preserve">Decreto Supremo N°21 (MINSAL)</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jc w:val="both"/>
              <w:rPr/>
            </w:pPr>
            <w:r w:rsidDel="00000000" w:rsidR="00000000" w:rsidRPr="00000000">
              <w:rPr>
                <w:rtl w:val="0"/>
              </w:rPr>
              <w:t xml:space="preserve">Reglamento sobre el derecho a recibir atención de salud con pertinencia cultural, dirigido explícitamente a pueblos indígenas, pero cuyo espíritu es aplicable a toda la diversidad cultural, incluida la población migrante.</w:t>
            </w:r>
          </w:p>
        </w:tc>
      </w:tr>
      <w:tr>
        <w:trPr>
          <w:cantSplit w:val="0"/>
          <w:trHeight w:val="134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jc w:val="both"/>
              <w:rPr>
                <w:b w:val="1"/>
                <w:bCs w:val="1"/>
              </w:rPr>
            </w:pPr>
            <w:r w:rsidDel="00000000" w:rsidR="00000000" w:rsidRPr="00000000">
              <w:rPr>
                <w:b w:val="1"/>
                <w:bCs w:val="1"/>
                <w:rtl w:val="0"/>
              </w:rPr>
              <w:t xml:space="preserve">Ley N°20.584 (Artículo 7)</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jc w:val="both"/>
              <w:rPr/>
            </w:pPr>
            <w:r w:rsidDel="00000000" w:rsidR="00000000" w:rsidRPr="00000000">
              <w:rPr>
                <w:rtl w:val="0"/>
              </w:rPr>
              <w:t xml:space="preserve">Ley de Derechos y Deberes de las Personas en Atención de Salud, cuyo Artículo 7 consagra el derecho a recibir una atención de salud digna, respetuosa y sin discriminación arbitraria.</w:t>
            </w:r>
          </w:p>
        </w:tc>
      </w:tr>
      <w:tr>
        <w:trPr>
          <w:cantSplit w:val="0"/>
          <w:trHeight w:val="107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jc w:val="both"/>
              <w:rPr>
                <w:b w:val="1"/>
                <w:bCs w:val="1"/>
              </w:rPr>
            </w:pPr>
            <w:r w:rsidDel="00000000" w:rsidR="00000000" w:rsidRPr="00000000">
              <w:rPr>
                <w:b w:val="1"/>
                <w:bCs w:val="1"/>
                <w:rtl w:val="0"/>
              </w:rPr>
              <w:t xml:space="preserve">Circular 4 (MINSAL)</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both"/>
              <w:rPr/>
            </w:pPr>
            <w:r w:rsidDel="00000000" w:rsidR="00000000" w:rsidRPr="00000000">
              <w:rPr>
                <w:rtl w:val="0"/>
              </w:rPr>
              <w:t xml:space="preserve">Instructivo que garantiza la atención de urgencia a toda persona sin importar su situación migratoria y el acceso a programas prioritarios, además de establecer el uso del IPP.</w:t>
            </w:r>
          </w:p>
        </w:tc>
      </w:tr>
      <w:tr>
        <w:trPr>
          <w:cantSplit w:val="0"/>
          <w:trHeight w:val="1340" w:hRule="atLeast"/>
          <w:tblHeader w:val="0"/>
        </w:trPr>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jc w:val="both"/>
              <w:rPr>
                <w:b w:val="1"/>
                <w:bCs w:val="1"/>
              </w:rPr>
            </w:pPr>
            <w:r w:rsidDel="00000000" w:rsidR="00000000" w:rsidRPr="00000000">
              <w:rPr>
                <w:b w:val="1"/>
                <w:bCs w:val="1"/>
                <w:rtl w:val="0"/>
              </w:rPr>
              <w:t xml:space="preserve">Factores de expulsión (push) y atracción (pull)</w:t>
            </w:r>
          </w:p>
        </w:tc>
        <w:tc>
          <w:tcPr>
            <w:tcBorders>
              <w:top w:color="ff00ff" w:space="0" w:sz="5" w:val="single"/>
              <w:left w:color="ff00ff" w:space="0" w:sz="5" w:val="single"/>
              <w:bottom w:color="ff00ff" w:space="0" w:sz="5" w:val="single"/>
              <w:right w:color="ff00ff" w:space="0" w:sz="5"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jc w:val="both"/>
              <w:rPr/>
            </w:pPr>
            <w:r w:rsidDel="00000000" w:rsidR="00000000" w:rsidRPr="00000000">
              <w:rPr>
                <w:rtl w:val="0"/>
              </w:rPr>
              <w:t xml:space="preserve">Conjunto complejo de causas que impulsan la migración. Los factores de expulsión son las crisis económicas, políticas o la violencia en el país de origen, mientras que los de atracción son las oportunidades percibidas en el país de destino.</w:t>
            </w:r>
          </w:p>
        </w:tc>
      </w:tr>
    </w:tbl>
    <w:p w:rsidR="00000000" w:rsidDel="00000000" w:rsidP="00000000" w:rsidRDefault="00000000" w:rsidRPr="00000000" w14:paraId="00000036">
      <w:pPr>
        <w:jc w:val="both"/>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drawing>
        <wp:inline distB="114300" distT="114300" distL="114300" distR="114300">
          <wp:extent cx="1023938" cy="10239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3938"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