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5" w:lineRule="auto"/>
        <w:jc w:val="center"/>
        <w:rPr>
          <w:b w:val="1"/>
          <w:bCs w:val="1"/>
          <w:color w:val="ff00ff"/>
          <w:sz w:val="33"/>
          <w:szCs w:val="33"/>
          <w:highlight w:val="white"/>
        </w:rPr>
      </w:pPr>
      <w:r w:rsidDel="00000000" w:rsidR="00000000" w:rsidRPr="00000000">
        <w:rPr>
          <w:b w:val="1"/>
          <w:bCs w:val="1"/>
          <w:color w:val="ff00ff"/>
          <w:sz w:val="33"/>
          <w:szCs w:val="33"/>
          <w:highlight w:val="white"/>
          <w:rtl w:val="0"/>
        </w:rPr>
        <w:t xml:space="preserve">Guía Conceptual</w:t>
      </w:r>
    </w:p>
    <w:p w:rsidR="00000000" w:rsidDel="00000000" w:rsidP="00000000" w:rsidRDefault="00000000" w:rsidRPr="00000000" w14:paraId="00000002">
      <w:pPr>
        <w:spacing w:before="55" w:lineRule="auto"/>
        <w:jc w:val="center"/>
        <w:rPr>
          <w:b w:val="1"/>
          <w:bCs w:val="1"/>
          <w:color w:val="ff00ff"/>
          <w:sz w:val="33"/>
          <w:szCs w:val="33"/>
          <w:highlight w:val="white"/>
        </w:rPr>
      </w:pPr>
      <w:r w:rsidDel="00000000" w:rsidR="00000000" w:rsidRPr="00000000">
        <w:rPr>
          <w:b w:val="1"/>
          <w:bCs w:val="1"/>
          <w:color w:val="ff00ff"/>
          <w:sz w:val="33"/>
          <w:szCs w:val="33"/>
          <w:highlight w:val="white"/>
          <w:rtl w:val="0"/>
        </w:rPr>
        <w:t xml:space="preserve">El Patrimonio en tu Escuela: Una Aventura de Aprendizaje</w:t>
      </w:r>
    </w:p>
    <w:p w:rsidR="00000000" w:rsidDel="00000000" w:rsidP="00000000" w:rsidRDefault="00000000" w:rsidRPr="00000000" w14:paraId="00000003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--------------------------------------------------------------------------------</w:t>
      </w:r>
    </w:p>
    <w:p w:rsidR="00000000" w:rsidDel="00000000" w:rsidP="00000000" w:rsidRDefault="00000000" w:rsidRPr="00000000" w14:paraId="00000004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1. Introducción: El Patrimonio es Más que un Museo</w:t>
      </w:r>
    </w:p>
    <w:p w:rsidR="00000000" w:rsidDel="00000000" w:rsidP="00000000" w:rsidRDefault="00000000" w:rsidRPr="00000000" w14:paraId="00000005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El patrimonio, tanto los edificios y objetos antiguos como las tradiciones y saberes de nuestra gente, es mucho más que una simple lección de historia. Ofrece a las escuelas una oportunidad única para conectar lo que aprendes en el aula con tu vida, tu comunidad y el lugar donde vives. Cuando se trabaja a través de proyectos integrados, el patrimonio deja de ser un dato anecdótico para convertirse en una herramienta viva que despierta tu creatividad, fortalece tu memoria y te ayuda a entender quién eres.</w:t>
      </w:r>
    </w:p>
    <w:p w:rsidR="00000000" w:rsidDel="00000000" w:rsidP="00000000" w:rsidRDefault="00000000" w:rsidRPr="00000000" w14:paraId="00000006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Para lograr esta magia, se combinan dos ingredientes poderosos: los proyectos integrados y la mediación patrimonial. Descubramos qué son.</w:t>
      </w:r>
    </w:p>
    <w:p w:rsidR="00000000" w:rsidDel="00000000" w:rsidP="00000000" w:rsidRDefault="00000000" w:rsidRPr="00000000" w14:paraId="00000007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2. Los Ingredientes Clave: ¿De Qué Estamos Hablando?</w:t>
      </w:r>
    </w:p>
    <w:p w:rsidR="00000000" w:rsidDel="00000000" w:rsidP="00000000" w:rsidRDefault="00000000" w:rsidRPr="00000000" w14:paraId="00000008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Para transformar el aprendizaje, necesitamos entender estos dos conceptos fundamentales.</w:t>
      </w:r>
    </w:p>
    <w:p w:rsidR="00000000" w:rsidDel="00000000" w:rsidP="00000000" w:rsidRDefault="00000000" w:rsidRPr="00000000" w14:paraId="00000009">
      <w:pPr>
        <w:spacing w:before="55" w:line="342.85714285714283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2.1. ¿Qué son los Proyectos Integrados?</w:t>
      </w:r>
    </w:p>
    <w:p w:rsidR="00000000" w:rsidDel="00000000" w:rsidP="00000000" w:rsidRDefault="00000000" w:rsidRPr="00000000" w14:paraId="0000000A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Un proyecto integrado es una forma de aprender que conecta diferentes asignaturas en torno a un desafío o tema común. Su objetivo es que los conocimientos no estén separados en "cajas", sino que se unan para darte una visión más completa y real del mundo, fomentando el trabajo en equipo y la colaboración.</w:t>
      </w:r>
    </w:p>
    <w:p w:rsidR="00000000" w:rsidDel="00000000" w:rsidP="00000000" w:rsidRDefault="00000000" w:rsidRPr="00000000" w14:paraId="0000000B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Por ejemplo, un proyecto sobre el patrimonio agrícola del valle podría unir varias materias así:</w:t>
      </w:r>
    </w:p>
    <w:p w:rsidR="00000000" w:rsidDel="00000000" w:rsidP="00000000" w:rsidRDefault="00000000" w:rsidRPr="00000000" w14:paraId="0000000C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Historia y Ciencias Sociales: Investigar sobre los cultivos tradicionales de la zona y cómo ha cambiado el paisaje con el tiempo.</w:t>
      </w:r>
    </w:p>
    <w:p w:rsidR="00000000" w:rsidDel="00000000" w:rsidP="00000000" w:rsidRDefault="00000000" w:rsidRPr="00000000" w14:paraId="0000000D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Lenguaje y Comunicación: Entrevistar a agricultores locales para registrar sus relatos y experiencias.</w:t>
      </w:r>
    </w:p>
    <w:p w:rsidR="00000000" w:rsidDel="00000000" w:rsidP="00000000" w:rsidRDefault="00000000" w:rsidRPr="00000000" w14:paraId="0000000E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Ciencias Naturales: Estudiar el tipo de suelo, los ciclos del agua y cómo crecen las plantas de la región.</w:t>
      </w:r>
    </w:p>
    <w:p w:rsidR="00000000" w:rsidDel="00000000" w:rsidP="00000000" w:rsidRDefault="00000000" w:rsidRPr="00000000" w14:paraId="0000000F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Arte y Tecnología: Crear maquetas del valle, una exposición fotográfica o un video documental sobre el tema.</w:t>
      </w:r>
    </w:p>
    <w:p w:rsidR="00000000" w:rsidDel="00000000" w:rsidP="00000000" w:rsidRDefault="00000000" w:rsidRPr="00000000" w14:paraId="00000010">
      <w:pPr>
        <w:spacing w:before="55" w:line="342.85714285714283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2.2. ¿Qué es la Mediación Patrimonial?</w:t>
      </w:r>
    </w:p>
    <w:p w:rsidR="00000000" w:rsidDel="00000000" w:rsidP="00000000" w:rsidRDefault="00000000" w:rsidRPr="00000000" w14:paraId="00000011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La mediación patrimonial no es una simple visita guiada donde alguien te da un montón de fechas y datos. Es una forma de enseñar basada en el diálogo, la curiosidad y la experiencia personal. Funciona como un puente entre la escuela y la comunidad, conectando lo que se aprende en los libros con los saberes y las historias de la gente del lugar.</w:t>
      </w:r>
    </w:p>
    <w:p w:rsidR="00000000" w:rsidDel="00000000" w:rsidP="00000000" w:rsidRDefault="00000000" w:rsidRPr="00000000" w14:paraId="00000012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Mediar el patrimonio en el aula implica:</w:t>
      </w:r>
    </w:p>
    <w:p w:rsidR="00000000" w:rsidDel="00000000" w:rsidP="00000000" w:rsidRDefault="00000000" w:rsidRPr="00000000" w14:paraId="00000013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1. Reconocer que el patrimonio está en todas partes, incluso en tu entorno más cercano y cotidiano.</w:t>
      </w:r>
    </w:p>
    <w:p w:rsidR="00000000" w:rsidDel="00000000" w:rsidP="00000000" w:rsidRDefault="00000000" w:rsidRPr="00000000" w14:paraId="00000014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2. Promover la curiosidad y el descubrimiento, haciendo preguntas en lugar de solo dar respuestas.</w:t>
      </w:r>
    </w:p>
    <w:p w:rsidR="00000000" w:rsidDel="00000000" w:rsidP="00000000" w:rsidRDefault="00000000" w:rsidRPr="00000000" w14:paraId="00000015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3. Fomentar el diálogo entre generaciones, integrando las voces de tus abuelos, vecinos y expertos locales.</w:t>
      </w:r>
    </w:p>
    <w:p w:rsidR="00000000" w:rsidDel="00000000" w:rsidP="00000000" w:rsidRDefault="00000000" w:rsidRPr="00000000" w14:paraId="00000016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4. Estimular tu creatividad y tu capacidad de reflexión crítica, para que te preguntes cómo el pasado se conecta con los desafíos de hoy.</w:t>
      </w:r>
    </w:p>
    <w:p w:rsidR="00000000" w:rsidDel="00000000" w:rsidP="00000000" w:rsidRDefault="00000000" w:rsidRPr="00000000" w14:paraId="00000017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Ahora que conoces los ingredientes por separado, veamos qué sucede cuando los combinamos en un proyecto escolar.</w:t>
      </w:r>
    </w:p>
    <w:p w:rsidR="00000000" w:rsidDel="00000000" w:rsidP="00000000" w:rsidRDefault="00000000" w:rsidRPr="00000000" w14:paraId="00000018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3. Los Superpoderes de Aprender con el Patrimonio</w:t>
      </w:r>
    </w:p>
    <w:p w:rsidR="00000000" w:rsidDel="00000000" w:rsidP="00000000" w:rsidRDefault="00000000" w:rsidRPr="00000000" w14:paraId="00000019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Combinar la mediación patrimonial con proyectos integrados genera múltiples beneficios que van más allá de sacar una buena nota. Estos "superpoderes" impactan distintas áreas de tu desarrollo.</w:t>
      </w:r>
    </w:p>
    <w:p w:rsidR="00000000" w:rsidDel="00000000" w:rsidP="00000000" w:rsidRDefault="00000000" w:rsidRPr="00000000" w14:paraId="0000001A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200.0" w:type="dxa"/>
        <w:jc w:val="left"/>
        <w:tblBorders>
          <w:top w:color="cdd2d9" w:space="0" w:sz="5" w:val="single"/>
          <w:left w:color="cdd2d9" w:space="0" w:sz="5" w:val="single"/>
          <w:bottom w:color="cdd2d9" w:space="0" w:sz="5" w:val="single"/>
          <w:right w:color="cdd2d9" w:space="0" w:sz="5" w:val="single"/>
          <w:insideH w:color="cdd2d9" w:space="0" w:sz="5" w:val="single"/>
          <w:insideV w:color="cdd2d9" w:space="0" w:sz="5" w:val="single"/>
        </w:tblBorders>
        <w:tblLayout w:type="fixed"/>
        <w:tblLook w:val="0600"/>
      </w:tblPr>
      <w:tblGrid>
        <w:gridCol w:w="1400"/>
        <w:gridCol w:w="1415"/>
        <w:gridCol w:w="1385"/>
        <w:tblGridChange w:id="0">
          <w:tblGrid>
            <w:gridCol w:w="1400"/>
            <w:gridCol w:w="1415"/>
            <w:gridCol w:w="1385"/>
          </w:tblGrid>
        </w:tblGridChange>
      </w:tblGrid>
      <w:tr>
        <w:trPr>
          <w:cantSplit w:val="0"/>
          <w:trHeight w:val="1235" w:hRule="atLeast"/>
          <w:tblHeader w:val="0"/>
        </w:trPr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55" w:lineRule="auto"/>
              <w:jc w:val="both"/>
              <w:rPr>
                <w:b w:val="1"/>
                <w:bCs w:val="1"/>
                <w:color w:val="ff00f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ff00ff"/>
                <w:sz w:val="21"/>
                <w:szCs w:val="21"/>
                <w:highlight w:val="white"/>
                <w:rtl w:val="0"/>
              </w:rPr>
              <w:t xml:space="preserve">Dimensión</w:t>
            </w:r>
          </w:p>
        </w:tc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55" w:lineRule="auto"/>
              <w:jc w:val="both"/>
              <w:rPr>
                <w:b w:val="1"/>
                <w:bCs w:val="1"/>
                <w:color w:val="ff00f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ff00ff"/>
                <w:sz w:val="21"/>
                <w:szCs w:val="21"/>
                <w:highlight w:val="white"/>
                <w:rtl w:val="0"/>
              </w:rPr>
              <w:t xml:space="preserve">Impacto Principal</w:t>
            </w:r>
          </w:p>
        </w:tc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55" w:lineRule="auto"/>
              <w:jc w:val="both"/>
              <w:rPr>
                <w:b w:val="1"/>
                <w:bCs w:val="1"/>
                <w:color w:val="ff00f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ff00ff"/>
                <w:sz w:val="21"/>
                <w:szCs w:val="21"/>
                <w:highlight w:val="white"/>
                <w:rtl w:val="0"/>
              </w:rPr>
              <w:t xml:space="preserve">Ejemplo Práctico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55" w:lineRule="auto"/>
              <w:jc w:val="both"/>
              <w:rPr>
                <w:b w:val="1"/>
                <w:bCs w:val="1"/>
                <w:color w:val="30303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21"/>
                <w:szCs w:val="21"/>
                <w:highlight w:val="white"/>
                <w:rtl w:val="0"/>
              </w:rPr>
              <w:t xml:space="preserve">Cognitiva</w:t>
            </w:r>
          </w:p>
        </w:tc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55" w:lineRule="auto"/>
              <w:jc w:val="both"/>
              <w:rPr>
                <w:color w:val="30303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303030"/>
                <w:sz w:val="21"/>
                <w:szCs w:val="21"/>
                <w:highlight w:val="white"/>
                <w:rtl w:val="0"/>
              </w:rPr>
              <w:t xml:space="preserve">Conectas ideas de distintas materias y el aprendizaje cobra más sentido.</w:t>
            </w:r>
          </w:p>
        </w:tc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55" w:lineRule="auto"/>
              <w:jc w:val="both"/>
              <w:rPr>
                <w:color w:val="30303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303030"/>
                <w:sz w:val="21"/>
                <w:szCs w:val="21"/>
                <w:highlight w:val="white"/>
                <w:rtl w:val="0"/>
              </w:rPr>
              <w:t xml:space="preserve">Relacionar un edificio histórico con la ciencia, la historia y el arte de su época.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55" w:lineRule="auto"/>
              <w:jc w:val="both"/>
              <w:rPr>
                <w:b w:val="1"/>
                <w:bCs w:val="1"/>
                <w:color w:val="30303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21"/>
                <w:szCs w:val="21"/>
                <w:highlight w:val="white"/>
                <w:rtl w:val="0"/>
              </w:rPr>
              <w:t xml:space="preserve">Emocional y social</w:t>
            </w:r>
          </w:p>
        </w:tc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55" w:lineRule="auto"/>
              <w:jc w:val="both"/>
              <w:rPr>
                <w:color w:val="30303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303030"/>
                <w:sz w:val="21"/>
                <w:szCs w:val="21"/>
                <w:highlight w:val="white"/>
                <w:rtl w:val="0"/>
              </w:rPr>
              <w:t xml:space="preserve">Fortalece tu identidad, mejora tu autoestima y te sientes más conectado con tu comunidad.</w:t>
            </w:r>
          </w:p>
        </w:tc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55" w:lineRule="auto"/>
              <w:jc w:val="both"/>
              <w:rPr>
                <w:color w:val="30303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303030"/>
                <w:sz w:val="21"/>
                <w:szCs w:val="21"/>
                <w:highlight w:val="white"/>
                <w:rtl w:val="0"/>
              </w:rPr>
              <w:t xml:space="preserve">Descubrir y valorar la historia de tu propio barrio o familia.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55" w:lineRule="auto"/>
              <w:jc w:val="both"/>
              <w:rPr>
                <w:b w:val="1"/>
                <w:bCs w:val="1"/>
                <w:color w:val="30303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21"/>
                <w:szCs w:val="21"/>
                <w:highlight w:val="white"/>
                <w:rtl w:val="0"/>
              </w:rPr>
              <w:t xml:space="preserve">Ciudadana</w:t>
            </w:r>
          </w:p>
        </w:tc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55" w:lineRule="auto"/>
              <w:jc w:val="both"/>
              <w:rPr>
                <w:color w:val="30303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303030"/>
                <w:sz w:val="21"/>
                <w:szCs w:val="21"/>
                <w:highlight w:val="white"/>
                <w:rtl w:val="0"/>
              </w:rPr>
              <w:t xml:space="preserve">Aprendes a valorar otras culturas y a participar en tu comunidad.</w:t>
            </w:r>
          </w:p>
        </w:tc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55" w:lineRule="auto"/>
              <w:jc w:val="both"/>
              <w:rPr>
                <w:color w:val="30303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303030"/>
                <w:sz w:val="21"/>
                <w:szCs w:val="21"/>
                <w:highlight w:val="white"/>
                <w:rtl w:val="0"/>
              </w:rPr>
              <w:t xml:space="preserve">Colaborar con una agrupación local para proteger un lugar importante.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55" w:lineRule="auto"/>
              <w:jc w:val="both"/>
              <w:rPr>
                <w:b w:val="1"/>
                <w:bCs w:val="1"/>
                <w:color w:val="30303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21"/>
                <w:szCs w:val="21"/>
                <w:highlight w:val="white"/>
                <w:rtl w:val="0"/>
              </w:rPr>
              <w:t xml:space="preserve">Creativa</w:t>
            </w:r>
          </w:p>
        </w:tc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55" w:lineRule="auto"/>
              <w:jc w:val="both"/>
              <w:rPr>
                <w:color w:val="30303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303030"/>
                <w:sz w:val="21"/>
                <w:szCs w:val="21"/>
                <w:highlight w:val="white"/>
                <w:rtl w:val="0"/>
              </w:rPr>
              <w:t xml:space="preserve">Despiertas tu lado artístico y encuentras nuevas formas de expresarte.</w:t>
            </w:r>
          </w:p>
        </w:tc>
        <w:tc>
          <w:tcPr>
            <w:tcBorders>
              <w:top w:color="cdd2d9" w:space="0" w:sz="5" w:val="single"/>
              <w:left w:color="cdd2d9" w:space="0" w:sz="5" w:val="single"/>
              <w:bottom w:color="cdd2d9" w:space="0" w:sz="5" w:val="single"/>
              <w:right w:color="cdd2d9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55" w:lineRule="auto"/>
              <w:jc w:val="both"/>
              <w:rPr>
                <w:color w:val="30303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303030"/>
                <w:sz w:val="21"/>
                <w:szCs w:val="21"/>
                <w:highlight w:val="white"/>
                <w:rtl w:val="0"/>
              </w:rPr>
              <w:t xml:space="preserve">Crear un mural o un video inspirado en las tradiciones de tu localidad.</w:t>
            </w:r>
          </w:p>
        </w:tc>
      </w:tr>
    </w:tbl>
    <w:p w:rsidR="00000000" w:rsidDel="00000000" w:rsidP="00000000" w:rsidRDefault="00000000" w:rsidRPr="00000000" w14:paraId="0000002D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Estos beneficios no son solo teoría. Veamos cómo se ven en la práctica.</w:t>
      </w:r>
    </w:p>
    <w:p w:rsidR="00000000" w:rsidDel="00000000" w:rsidP="00000000" w:rsidRDefault="00000000" w:rsidRPr="00000000" w14:paraId="0000002E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4. Proyectos en Acción: ¡Así se Vive el Patrimonio!</w:t>
      </w:r>
    </w:p>
    <w:p w:rsidR="00000000" w:rsidDel="00000000" w:rsidP="00000000" w:rsidRDefault="00000000" w:rsidRPr="00000000" w14:paraId="0000002F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Aquí tienes algunos ejemplos de cómo estas ideas se transforman en proyectos reales y emocionantes.</w:t>
      </w:r>
    </w:p>
    <w:p w:rsidR="00000000" w:rsidDel="00000000" w:rsidP="00000000" w:rsidRDefault="00000000" w:rsidRPr="00000000" w14:paraId="00000030">
      <w:pPr>
        <w:spacing w:before="55" w:line="342.85714285714283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🏺 “Mi escuela, mi historia”</w:t>
      </w:r>
    </w:p>
    <w:p w:rsidR="00000000" w:rsidDel="00000000" w:rsidP="00000000" w:rsidRDefault="00000000" w:rsidRPr="00000000" w14:paraId="00000031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¿De qué trata? Investigar la historia del propio edificio escolar usando fotos antiguas, planos y relatos de exalumnos.</w:t>
      </w:r>
    </w:p>
    <w:p w:rsidR="00000000" w:rsidDel="00000000" w:rsidP="00000000" w:rsidRDefault="00000000" w:rsidRPr="00000000" w14:paraId="00000032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Resultado: Crear una exposición o un video para compartir la historia del colegio con toda la comunidad.</w:t>
      </w:r>
    </w:p>
    <w:p w:rsidR="00000000" w:rsidDel="00000000" w:rsidP="00000000" w:rsidRDefault="00000000" w:rsidRPr="00000000" w14:paraId="00000033">
      <w:pPr>
        <w:spacing w:before="55" w:line="342.85714285714283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🌳 “Memorias del territorio”</w:t>
      </w:r>
    </w:p>
    <w:p w:rsidR="00000000" w:rsidDel="00000000" w:rsidP="00000000" w:rsidRDefault="00000000" w:rsidRPr="00000000" w14:paraId="00000034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¿De qué trata? Registrar los saberes locales sobre la naturaleza del entorno: plantas medicinales, animales de la zona, fiestas tradicionales, etc.</w:t>
      </w:r>
    </w:p>
    <w:p w:rsidR="00000000" w:rsidDel="00000000" w:rsidP="00000000" w:rsidRDefault="00000000" w:rsidRPr="00000000" w14:paraId="00000035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Resultado: Crear una cartografía patrimonial (un mapa cultural y de saberes) del territorio, diseñada y elaborada por los propios estudiantes.</w:t>
      </w:r>
    </w:p>
    <w:p w:rsidR="00000000" w:rsidDel="00000000" w:rsidP="00000000" w:rsidRDefault="00000000" w:rsidRPr="00000000" w14:paraId="00000036">
      <w:pPr>
        <w:spacing w:before="55" w:line="342.85714285714283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🎨 “Patrimonio en colores”</w:t>
      </w:r>
    </w:p>
    <w:p w:rsidR="00000000" w:rsidDel="00000000" w:rsidP="00000000" w:rsidRDefault="00000000" w:rsidRPr="00000000" w14:paraId="00000037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¿De qué trata? Reinterpretar elementos importantes del patrimonio local (un edificio, una estatua, una tradición) a través del arte contemporáneo.</w:t>
      </w:r>
    </w:p>
    <w:p w:rsidR="00000000" w:rsidDel="00000000" w:rsidP="00000000" w:rsidRDefault="00000000" w:rsidRPr="00000000" w14:paraId="00000038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Resultado: Crear murales, collages, videos o instalaciones artísticas que le den una nueva vida a ese patrimonio.</w:t>
      </w:r>
    </w:p>
    <w:p w:rsidR="00000000" w:rsidDel="00000000" w:rsidP="00000000" w:rsidRDefault="00000000" w:rsidRPr="00000000" w14:paraId="00000039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Detrás de cada uno de estos increíbles proyectos, hay una figura clave: el docente mediador.</w:t>
      </w:r>
    </w:p>
    <w:p w:rsidR="00000000" w:rsidDel="00000000" w:rsidP="00000000" w:rsidRDefault="00000000" w:rsidRPr="00000000" w14:paraId="0000003A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5. Tu Guía en la Aventura: El Rol del Docente-Mediador</w:t>
      </w:r>
    </w:p>
    <w:p w:rsidR="00000000" w:rsidDel="00000000" w:rsidP="00000000" w:rsidRDefault="00000000" w:rsidRPr="00000000" w14:paraId="0000003B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En estos proyectos, el rol del profesor cambia. No se trata solo de "enseñar sobre patrimonio", sino de facilitar que tú y tus compañeros tengan un encuentro real y significativo con él. El docente actúa como un vínculo entre la escuela y la comunidad, ayudando a construir puentes para el aprendizaje.</w:t>
      </w:r>
    </w:p>
    <w:p w:rsidR="00000000" w:rsidDel="00000000" w:rsidP="00000000" w:rsidRDefault="00000000" w:rsidRPr="00000000" w14:paraId="0000003C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Las claves de un docente-mediador son:</w:t>
      </w:r>
    </w:p>
    <w:p w:rsidR="00000000" w:rsidDel="00000000" w:rsidP="00000000" w:rsidRDefault="00000000" w:rsidRPr="00000000" w14:paraId="0000003D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Diseña experiencias que conectan lo que aprendes con tu entorno.</w:t>
      </w:r>
    </w:p>
    <w:p w:rsidR="00000000" w:rsidDel="00000000" w:rsidP="00000000" w:rsidRDefault="00000000" w:rsidRPr="00000000" w14:paraId="0000003E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Escucha y valora lo que tú y tu familia ya saben sobre su historia y cultura.</w:t>
      </w:r>
    </w:p>
    <w:p w:rsidR="00000000" w:rsidDel="00000000" w:rsidP="00000000" w:rsidRDefault="00000000" w:rsidRPr="00000000" w14:paraId="0000003F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Te anima a salir del aula para visitar lugares y entrevistar personas.</w:t>
      </w:r>
    </w:p>
    <w:p w:rsidR="00000000" w:rsidDel="00000000" w:rsidP="00000000" w:rsidRDefault="00000000" w:rsidRPr="00000000" w14:paraId="00000040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Usa metodologías activas donde tú eres el protagonista, como el Aprendizaje Basado en Proyectos (ABP), la indagación y la co-creación, para que todos puedan participar y construir conocimiento juntos.</w:t>
      </w:r>
    </w:p>
    <w:p w:rsidR="00000000" w:rsidDel="00000000" w:rsidP="00000000" w:rsidRDefault="00000000" w:rsidRPr="00000000" w14:paraId="00000041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• Incorpora el conocimiento de artistas, artesanos, portadores de tradición y otros sabios de tu comunidad.</w:t>
      </w:r>
    </w:p>
    <w:p w:rsidR="00000000" w:rsidDel="00000000" w:rsidP="00000000" w:rsidRDefault="00000000" w:rsidRPr="00000000" w14:paraId="00000042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Este modo de enseñar nos lleva a la conclusión más importante de todas.</w:t>
      </w:r>
    </w:p>
    <w:p w:rsidR="00000000" w:rsidDel="00000000" w:rsidP="00000000" w:rsidRDefault="00000000" w:rsidRPr="00000000" w14:paraId="00000043">
      <w:pPr>
        <w:spacing w:before="55" w:lineRule="auto"/>
        <w:jc w:val="both"/>
        <w:rPr>
          <w:b w:val="1"/>
          <w:bCs w:val="1"/>
          <w:color w:val="303030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303030"/>
          <w:sz w:val="21"/>
          <w:szCs w:val="21"/>
          <w:highlight w:val="white"/>
          <w:rtl w:val="0"/>
        </w:rPr>
        <w:t xml:space="preserve">6. Conclusión: Educar para Mirar el Mundo de Otra Forma</w:t>
      </w:r>
    </w:p>
    <w:p w:rsidR="00000000" w:rsidDel="00000000" w:rsidP="00000000" w:rsidRDefault="00000000" w:rsidRPr="00000000" w14:paraId="00000044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Educar desde el patrimonio significa aprender desde el territorio, la memoria y la experiencia personal. Es reconocer que los aprendizajes más profundos son aquellos que se conectan con nuestra vida y nuestras emociones. El patrimonio, más que un contenido para una prueba, es una fuente de sentido que nos ayuda a entender de dónde venimos y a imaginar hacia dónde vamos.</w:t>
      </w:r>
    </w:p>
    <w:p w:rsidR="00000000" w:rsidDel="00000000" w:rsidP="00000000" w:rsidRDefault="00000000" w:rsidRPr="00000000" w14:paraId="00000045">
      <w:pPr>
        <w:spacing w:before="55" w:lineRule="auto"/>
        <w:jc w:val="both"/>
        <w:rPr>
          <w:color w:val="303030"/>
          <w:sz w:val="21"/>
          <w:szCs w:val="21"/>
          <w:highlight w:val="white"/>
        </w:rPr>
      </w:pPr>
      <w:r w:rsidDel="00000000" w:rsidR="00000000" w:rsidRPr="00000000">
        <w:rPr>
          <w:color w:val="303030"/>
          <w:sz w:val="21"/>
          <w:szCs w:val="21"/>
          <w:highlight w:val="white"/>
          <w:rtl w:val="0"/>
        </w:rPr>
        <w:t xml:space="preserve">Mediar el patrimonio es enseñar a mirar con otros ojos: a descubrir en lo cotidiano las huellas del pasado y los desafíos del futuro. Es abrir espacios de diálogo donde la cultura se vuelve viva, compartida y transformadora.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5" w:lineRule="auto"/>
        <w:jc w:val="both"/>
        <w:rPr>
          <w:b w:val="1"/>
          <w:bCs w:val="1"/>
          <w:color w:val="f11db9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800" w:top="1320" w:left="1440" w:right="1440" w:header="0" w:footer="16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49213</wp:posOffset>
              </wp:positionH>
              <wp:positionV relativeFrom="paragraph">
                <wp:posOffset>9015413</wp:posOffset>
              </wp:positionV>
              <wp:extent cx="5615940" cy="777875"/>
              <wp:effectExtent b="0" l="0" r="0" t="0"/>
              <wp:wrapNone/>
              <wp:docPr id="96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566605" y="3419638"/>
                        <a:ext cx="5558790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.0000000298023224" w:right="0" w:firstLine="1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vertAlign w:val="baseline"/>
                            </w:rPr>
                            <w:t xml:space="preserve">Hojambila Capacitaciones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.0000000298023224" w:right="0" w:firstLine="1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vertAlign w:val="baseline"/>
                            </w:rPr>
                            <w:t xml:space="preserve"> Teléfono y WhatsApp +56 9 64330823 / +56 9 30525371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686.0000610351562" w:right="1671.0000610351562" w:firstLine="843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vertAlign w:val="baseline"/>
                            </w:rPr>
                            <w:t xml:space="preserve">hojambila@gmail.com / @hojambila.capacitaciones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686.0000610351562" w:right="1671.0000610351562" w:firstLine="843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vertAlign w:val="baseline"/>
                            </w:rPr>
                            <w:t xml:space="preserve">Villa Alemana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686.0000610351562" w:right="1671.0000610351562" w:firstLine="843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49213</wp:posOffset>
              </wp:positionH>
              <wp:positionV relativeFrom="paragraph">
                <wp:posOffset>9015413</wp:posOffset>
              </wp:positionV>
              <wp:extent cx="5615940" cy="777875"/>
              <wp:effectExtent b="0" l="0" r="0" t="0"/>
              <wp:wrapNone/>
              <wp:docPr id="9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5940" cy="777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-965196</wp:posOffset>
              </wp:positionH>
              <wp:positionV relativeFrom="paragraph">
                <wp:posOffset>685800</wp:posOffset>
              </wp:positionV>
              <wp:extent cx="7915275" cy="704850"/>
              <wp:effectExtent b="0" l="0" r="0" t="0"/>
              <wp:wrapNone/>
              <wp:docPr id="9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464563" y="3503775"/>
                        <a:ext cx="7762875" cy="552450"/>
                      </a:xfrm>
                      <a:prstGeom prst="rect">
                        <a:avLst/>
                      </a:prstGeom>
                      <a:solidFill>
                        <a:srgbClr val="F11DB9"/>
                      </a:solidFill>
                      <a:ln cap="flat" cmpd="sng" w="25400">
                        <a:solidFill>
                          <a:srgbClr val="F11DB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-965196</wp:posOffset>
              </wp:positionH>
              <wp:positionV relativeFrom="paragraph">
                <wp:posOffset>685800</wp:posOffset>
              </wp:positionV>
              <wp:extent cx="7915275" cy="704850"/>
              <wp:effectExtent b="0" l="0" r="0" t="0"/>
              <wp:wrapNone/>
              <wp:docPr id="9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15275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4781553</wp:posOffset>
              </wp:positionH>
              <wp:positionV relativeFrom="page">
                <wp:posOffset>228601</wp:posOffset>
              </wp:positionV>
              <wp:extent cx="2743200" cy="247650"/>
              <wp:effectExtent b="0" l="0" r="0" t="0"/>
              <wp:wrapNone/>
              <wp:docPr id="9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002975" y="3684750"/>
                        <a:ext cx="26860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44.000000953674316" w:line="240"/>
                            <w:ind w:left="2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Fortaleciendo tu futuro desde tus raíces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4781553</wp:posOffset>
              </wp:positionH>
              <wp:positionV relativeFrom="page">
                <wp:posOffset>228601</wp:posOffset>
              </wp:positionV>
              <wp:extent cx="2743200" cy="247650"/>
              <wp:effectExtent b="0" l="0" r="0" t="0"/>
              <wp:wrapNone/>
              <wp:docPr id="9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320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-965196</wp:posOffset>
              </wp:positionH>
              <wp:positionV relativeFrom="paragraph">
                <wp:posOffset>-393695</wp:posOffset>
              </wp:positionV>
              <wp:extent cx="7915275" cy="704850"/>
              <wp:effectExtent b="0" l="0" r="0" t="0"/>
              <wp:wrapNone/>
              <wp:docPr id="9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64563" y="3503775"/>
                        <a:ext cx="7762875" cy="552450"/>
                      </a:xfrm>
                      <a:prstGeom prst="rect">
                        <a:avLst/>
                      </a:prstGeom>
                      <a:solidFill>
                        <a:srgbClr val="F11DB9"/>
                      </a:solidFill>
                      <a:ln cap="flat" cmpd="sng" w="25400">
                        <a:solidFill>
                          <a:srgbClr val="F11DB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-965196</wp:posOffset>
              </wp:positionH>
              <wp:positionV relativeFrom="paragraph">
                <wp:posOffset>-393695</wp:posOffset>
              </wp:positionV>
              <wp:extent cx="7915275" cy="704850"/>
              <wp:effectExtent b="0" l="0" r="0" t="0"/>
              <wp:wrapNone/>
              <wp:docPr id="9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15275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-914394</wp:posOffset>
          </wp:positionH>
          <wp:positionV relativeFrom="paragraph">
            <wp:posOffset>-341187</wp:posOffset>
          </wp:positionV>
          <wp:extent cx="1637241" cy="1637241"/>
          <wp:effectExtent b="0" l="0" r="0" t="0"/>
          <wp:wrapNone/>
          <wp:docPr id="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241" cy="163724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3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826" w:hanging="361"/>
    </w:pPr>
  </w:style>
  <w:style w:type="paragraph" w:styleId="Encabezado">
    <w:name w:val="header"/>
    <w:basedOn w:val="Normal"/>
    <w:link w:val="EncabezadoCar"/>
    <w:uiPriority w:val="99"/>
    <w:unhideWhenUsed w:val="1"/>
    <w:rsid w:val="001E151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E1510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E151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E1510"/>
    <w:rPr>
      <w:rFonts w:ascii="Arial MT" w:cs="Arial MT" w:eastAsia="Arial MT" w:hAnsi="Arial MT"/>
      <w:lang w:val="es-ES"/>
    </w:rPr>
  </w:style>
  <w:style w:type="character" w:styleId="Ttulo2Car" w:customStyle="1">
    <w:name w:val="Título 2 Car"/>
    <w:basedOn w:val="Fuentedeprrafopredeter"/>
    <w:link w:val="Ttulo2"/>
    <w:uiPriority w:val="9"/>
    <w:rsid w:val="001E1510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B6027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60276"/>
    <w:rPr>
      <w:color w:val="605e5c"/>
      <w:shd w:color="auto" w:fill="e1dfdd" w:val="clear"/>
    </w:rPr>
  </w:style>
  <w:style w:type="table" w:styleId="10" w:customStyle="1">
    <w:name w:val="10"/>
    <w:basedOn w:val="TableNormal1"/>
    <w:tblPr>
      <w:tblStyleRowBandSize w:val="1"/>
      <w:tblStyleColBandSize w:val="1"/>
    </w:tblPr>
  </w:style>
  <w:style w:type="table" w:styleId="9" w:customStyle="1">
    <w:name w:val="9"/>
    <w:basedOn w:val="TableNormal1"/>
    <w:tblPr>
      <w:tblStyleRowBandSize w:val="1"/>
      <w:tblStyleColBandSize w:val="1"/>
    </w:tblPr>
  </w:style>
  <w:style w:type="table" w:styleId="8" w:customStyle="1">
    <w:name w:val="8"/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7" w:customStyle="1">
    <w:name w:val="7"/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6" w:customStyle="1">
    <w:name w:val="6"/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5" w:customStyle="1">
    <w:name w:val="5"/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" w:customStyle="1">
    <w:name w:val="4"/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" w:customStyle="1">
    <w:name w:val="3"/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" w:customStyle="1">
    <w:name w:val="2"/>
    <w:basedOn w:val="TableNormal3"/>
    <w:tblPr>
      <w:tblStyleRowBandSize w:val="1"/>
      <w:tblStyleColBandSize w:val="1"/>
    </w:tblPr>
  </w:style>
  <w:style w:type="table" w:styleId="1" w:customStyle="1">
    <w:name w:val="1"/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aconcuadrcula">
    <w:name w:val="Table Grid"/>
    <w:basedOn w:val="Tablanormal"/>
    <w:uiPriority w:val="39"/>
    <w:rsid w:val="005A4E4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nlUaMp2BA88QX1JhjtmBs7NoOA==">CgMxLjA4AHIhMTl5ZmVjZF9SeC1GZ01NR2s3dVF3c01mNmV5NmNSb1NC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2025-09-30T05:49:00Z</dcterms:created>
  <dc:creator>Raul Ignacio Contreras Hurtado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2010</vt:lpwstr>
  </property>
</Properties>
</file>